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nomen ______________________________</w:t>
      </w:r>
    </w:p>
    <w:p w:rsidR="00000000" w:rsidDel="00000000" w:rsidP="00000000" w:rsidRDefault="00000000" w:rsidRPr="00000000" w14:paraId="00000002">
      <w:pPr>
        <w:jc w:val="center"/>
        <w:rPr>
          <w:rFonts w:ascii="Rochester" w:cs="Rochester" w:eastAsia="Rochester" w:hAnsi="Rochester"/>
          <w:sz w:val="48"/>
          <w:szCs w:val="48"/>
        </w:rPr>
      </w:pPr>
      <w:r w:rsidDel="00000000" w:rsidR="00000000" w:rsidRPr="00000000">
        <w:rPr>
          <w:rFonts w:ascii="Rochester" w:cs="Rochester" w:eastAsia="Rochester" w:hAnsi="Rochester"/>
          <w:sz w:val="48"/>
          <w:szCs w:val="48"/>
          <w:rtl w:val="0"/>
        </w:rPr>
        <w:t xml:space="preserve">Assessment: Pluto Capitulum 1</w:t>
      </w:r>
    </w:p>
    <w:p w:rsidR="00000000" w:rsidDel="00000000" w:rsidP="00000000" w:rsidRDefault="00000000" w:rsidRPr="00000000" w14:paraId="00000003">
      <w:pPr>
        <w:rPr>
          <w:rFonts w:ascii="Old Standard TT" w:cs="Old Standard TT" w:eastAsia="Old Standard TT" w:hAnsi="Old Standard TT"/>
          <w:b w:val="1"/>
        </w:rPr>
      </w:pPr>
      <w:r w:rsidDel="00000000" w:rsidR="00000000" w:rsidRPr="00000000">
        <w:rPr>
          <w:rFonts w:ascii="Old Standard TT" w:cs="Old Standard TT" w:eastAsia="Old Standard TT" w:hAnsi="Old Standard TT"/>
          <w:b w:val="1"/>
          <w:rtl w:val="0"/>
        </w:rPr>
        <w:t xml:space="preserve">I. Deeper Understanding</w:t>
      </w:r>
    </w:p>
    <w:p w:rsidR="00000000" w:rsidDel="00000000" w:rsidP="00000000" w:rsidRDefault="00000000" w:rsidRPr="00000000" w14:paraId="00000004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Each statement below is true. For each statement, find a quote in the passage above to prove that it is true, </w:t>
      </w:r>
      <w:r w:rsidDel="00000000" w:rsidR="00000000" w:rsidRPr="00000000">
        <w:rPr>
          <w:rFonts w:ascii="Old Standard TT" w:cs="Old Standard TT" w:eastAsia="Old Standard TT" w:hAnsi="Old Standard TT"/>
          <w:b w:val="1"/>
          <w:rtl w:val="0"/>
        </w:rPr>
        <w:t xml:space="preserve">then write that quote in Latin below the statement</w:t>
      </w: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. You can answer all five; </w:t>
      </w:r>
      <w:r w:rsidDel="00000000" w:rsidR="00000000" w:rsidRPr="00000000">
        <w:rPr>
          <w:rFonts w:ascii="Old Standard TT" w:cs="Old Standard TT" w:eastAsia="Old Standard TT" w:hAnsi="Old Standard TT"/>
          <w:b w:val="1"/>
          <w:rtl w:val="0"/>
        </w:rPr>
        <w:t xml:space="preserve">I will grade your four best answers</w:t>
      </w: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720" w:hanging="360"/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Family relationships are complicated.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480" w:lineRule="auto"/>
        <w:ind w:left="720" w:hanging="360"/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Pluto had a difficult childhood.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480" w:lineRule="auto"/>
        <w:ind w:left="720" w:hanging="360"/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Jupiter does not know how to make Pluto feel better.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480" w:lineRule="auto"/>
        <w:ind w:left="720" w:hanging="360"/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Pluto is lonely.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720" w:hanging="360"/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Pluto is different than the other gods.</w:t>
      </w:r>
    </w:p>
    <w:p w:rsidR="00000000" w:rsidDel="00000000" w:rsidP="00000000" w:rsidRDefault="00000000" w:rsidRPr="00000000" w14:paraId="0000000B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0"/>
        <w:gridCol w:w="1350"/>
        <w:tblGridChange w:id="0">
          <w:tblGrid>
            <w:gridCol w:w="9090"/>
            <w:gridCol w:w="1350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Old Standard TT" w:cs="Old Standard TT" w:eastAsia="Old Standard TT" w:hAnsi="Old Standard TT"/>
                <w:sz w:val="20"/>
                <w:szCs w:val="20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0"/>
                <w:szCs w:val="20"/>
                <w:rtl w:val="0"/>
              </w:rPr>
              <w:t xml:space="preserve">S1. Deeper Understanding: Recognize and describe character motivations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_____/100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Old Standard TT" w:cs="Old Standard TT" w:eastAsia="Old Standard TT" w:hAnsi="Old Standard T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ld Standard TT" w:cs="Old Standard TT" w:eastAsia="Old Standard TT" w:hAnsi="Old Standard TT"/>
          <w:b w:val="1"/>
        </w:rPr>
      </w:pPr>
      <w:r w:rsidDel="00000000" w:rsidR="00000000" w:rsidRPr="00000000">
        <w:rPr>
          <w:rFonts w:ascii="Old Standard TT" w:cs="Old Standard TT" w:eastAsia="Old Standard TT" w:hAnsi="Old Standard TT"/>
          <w:b w:val="1"/>
          <w:rtl w:val="0"/>
        </w:rPr>
        <w:t xml:space="preserve">II. Deeper Understanding</w:t>
      </w:r>
    </w:p>
    <w:p w:rsidR="00000000" w:rsidDel="00000000" w:rsidP="00000000" w:rsidRDefault="00000000" w:rsidRPr="00000000" w14:paraId="00000010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Answer the following question and choose two quotes from the chapter that support your claim, then explain how the quotes support your answer.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Old Standard TT" w:cs="Old Standard TT" w:eastAsia="Old Standard TT" w:hAnsi="Old Standard TT"/>
          <w:u w:val="none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Answer the question: </w:t>
      </w:r>
      <w:r w:rsidDel="00000000" w:rsidR="00000000" w:rsidRPr="00000000">
        <w:rPr>
          <w:rFonts w:ascii="Old Standard TT" w:cs="Old Standard TT" w:eastAsia="Old Standard TT" w:hAnsi="Old Standard TT"/>
          <w:b w:val="1"/>
          <w:rtl w:val="0"/>
        </w:rPr>
        <w:t xml:space="preserve">Is there hope for Pluto to become a confident character later on in the story?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Old Standard TT" w:cs="Old Standard TT" w:eastAsia="Old Standard TT" w:hAnsi="Old Standard TT"/>
          <w:u w:val="none"/>
        </w:rPr>
      </w:pPr>
      <w:r w:rsidDel="00000000" w:rsidR="00000000" w:rsidRPr="00000000">
        <w:rPr>
          <w:rFonts w:ascii="Old Standard TT" w:cs="Old Standard TT" w:eastAsia="Old Standard TT" w:hAnsi="Old Standard TT"/>
          <w:rtl w:val="0"/>
        </w:rPr>
        <w:t xml:space="preserve">Choose two quotes and explain how they support your answer.</w:t>
      </w:r>
    </w:p>
    <w:p w:rsidR="00000000" w:rsidDel="00000000" w:rsidP="00000000" w:rsidRDefault="00000000" w:rsidRPr="00000000" w14:paraId="00000013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0"/>
        <w:gridCol w:w="1350"/>
        <w:tblGridChange w:id="0">
          <w:tblGrid>
            <w:gridCol w:w="9090"/>
            <w:gridCol w:w="1350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Old Standard TT" w:cs="Old Standard TT" w:eastAsia="Old Standard TT" w:hAnsi="Old Standard TT"/>
                <w:sz w:val="20"/>
                <w:szCs w:val="20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sz w:val="20"/>
                <w:szCs w:val="20"/>
                <w:rtl w:val="0"/>
              </w:rPr>
              <w:t xml:space="preserve">S3. Deeper Understanding: Describe the author’s intent behind a text and offer textual support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ld Standard TT" w:cs="Old Standard TT" w:eastAsia="Old Standard TT" w:hAnsi="Old Standard TT"/>
              </w:rPr>
            </w:pPr>
            <w:r w:rsidDel="00000000" w:rsidR="00000000" w:rsidRPr="00000000">
              <w:rPr>
                <w:rFonts w:ascii="Old Standard TT" w:cs="Old Standard TT" w:eastAsia="Old Standard TT" w:hAnsi="Old Standard TT"/>
                <w:rtl w:val="0"/>
              </w:rPr>
              <w:t xml:space="preserve">_____/100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Old Standard TT" w:cs="Old Standard TT" w:eastAsia="Old Standard TT" w:hAnsi="Old Standard TT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72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chester">
    <w:embedRegular w:fontKey="{00000000-0000-0000-0000-000000000000}" r:id="rId1" w:subsetted="0"/>
  </w:font>
  <w:font w:name="Old Standard T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hester-regular.ttf"/><Relationship Id="rId2" Type="http://schemas.openxmlformats.org/officeDocument/2006/relationships/font" Target="fonts/OldStandardTT-regular.ttf"/><Relationship Id="rId3" Type="http://schemas.openxmlformats.org/officeDocument/2006/relationships/font" Target="fonts/OldStandardTT-bold.ttf"/><Relationship Id="rId4" Type="http://schemas.openxmlformats.org/officeDocument/2006/relationships/font" Target="fonts/OldStandardTT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